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spacing w:after="390" w:line="259" w:lineRule="auto"/>
        <w:ind w:right="0" w:firstLine="0"/>
      </w:pPr>
      <w:bookmarkStart w:id="0" w:name="_Hlk59472836"/>
      <w:r>
        <w:rPr>
          <w:sz w:val="21"/>
        </w:rPr>
        <w:t>附件</w:t>
      </w:r>
      <w:r>
        <w:rPr>
          <w:rFonts w:hint="eastAsia"/>
          <w:sz w:val="21"/>
          <w:lang w:val="en-US" w:eastAsia="zh-CN"/>
        </w:rPr>
        <w:t>2</w:t>
      </w:r>
    </w:p>
    <w:p>
      <w:pPr>
        <w:pStyle w:val="2"/>
        <w:spacing w:after="1"/>
        <w:ind w:left="0" w:right="121" w:firstLine="0"/>
        <w:rPr>
          <w:rFonts w:hint="eastAsia" w:ascii="黑体" w:hAnsi="黑体" w:eastAsia="黑体" w:cs="黑体"/>
          <w:sz w:val="32"/>
          <w:szCs w:val="32"/>
        </w:rPr>
      </w:pPr>
      <w:r>
        <w:rPr>
          <w:rFonts w:hint="eastAsia" w:ascii="黑体" w:hAnsi="黑体" w:eastAsia="黑体" w:cs="黑体"/>
          <w:sz w:val="32"/>
          <w:szCs w:val="32"/>
        </w:rPr>
        <w:t xml:space="preserve">江苏省省级项目支出绩效自评价情况表 </w:t>
      </w:r>
    </w:p>
    <w:p>
      <w:pPr>
        <w:pStyle w:val="2"/>
        <w:spacing w:after="1"/>
        <w:ind w:left="0" w:right="121" w:firstLine="0"/>
        <w:rPr>
          <w:rFonts w:hint="eastAsia" w:ascii="黑体" w:hAnsi="黑体" w:eastAsia="黑体" w:cs="黑体"/>
        </w:rPr>
      </w:pPr>
      <w:r>
        <w:rPr>
          <w:rFonts w:hint="eastAsia" w:ascii="黑体" w:hAnsi="黑体" w:eastAsia="黑体" w:cs="黑体"/>
          <w:sz w:val="30"/>
        </w:rPr>
        <w:t xml:space="preserve"> </w:t>
      </w:r>
    </w:p>
    <w:p>
      <w:pPr>
        <w:spacing w:after="3" w:line="320" w:lineRule="auto"/>
        <w:ind w:left="284" w:right="2670" w:hanging="10"/>
        <w:rPr>
          <w:rFonts w:hint="eastAsia" w:ascii="宋体" w:hAnsi="宋体" w:eastAsia="宋体" w:cs="宋体"/>
          <w:sz w:val="18"/>
          <w:lang w:val="en-US" w:eastAsia="zh-CN"/>
        </w:rPr>
      </w:pPr>
      <w:r>
        <w:rPr>
          <w:rFonts w:ascii="宋体" w:hAnsi="宋体" w:eastAsia="宋体" w:cs="宋体"/>
          <w:sz w:val="18"/>
        </w:rPr>
        <w:t>填报</w:t>
      </w:r>
      <w:r>
        <w:rPr>
          <w:rFonts w:hint="eastAsia" w:ascii="宋体" w:hAnsi="宋体" w:eastAsia="宋体" w:cs="宋体"/>
          <w:sz w:val="18"/>
          <w:lang w:val="en-US" w:eastAsia="zh-CN"/>
        </w:rPr>
        <w:t>单位</w:t>
      </w:r>
      <w:r>
        <w:rPr>
          <w:rFonts w:ascii="宋体" w:hAnsi="宋体" w:eastAsia="宋体" w:cs="宋体"/>
          <w:sz w:val="18"/>
        </w:rPr>
        <w:t>：</w:t>
      </w:r>
      <w:r>
        <w:rPr>
          <w:rFonts w:hint="eastAsia" w:ascii="宋体" w:hAnsi="宋体" w:eastAsia="宋体" w:cs="宋体"/>
          <w:sz w:val="18"/>
          <w:u w:val="single"/>
        </w:rPr>
        <w:t xml:space="preserve">   </w:t>
      </w:r>
      <w:r>
        <w:rPr>
          <w:rFonts w:hint="eastAsia" w:ascii="宋体" w:hAnsi="宋体" w:eastAsia="宋体" w:cs="宋体"/>
          <w:sz w:val="18"/>
          <w:u w:val="single"/>
          <w:lang w:val="en-US" w:eastAsia="zh-CN"/>
        </w:rPr>
        <w:t xml:space="preserve">        南京信息工程大学</w:t>
      </w:r>
      <w:r>
        <w:rPr>
          <w:rFonts w:hint="eastAsia" w:ascii="宋体" w:hAnsi="宋体" w:eastAsia="宋体" w:cs="宋体"/>
          <w:sz w:val="18"/>
          <w:u w:val="single"/>
        </w:rPr>
        <w:t xml:space="preserve"> </w:t>
      </w:r>
      <w:r>
        <w:rPr>
          <w:rFonts w:hint="eastAsia" w:ascii="宋体" w:hAnsi="宋体" w:eastAsia="宋体" w:cs="宋体"/>
          <w:sz w:val="18"/>
          <w:u w:val="single"/>
          <w:lang w:val="en-US" w:eastAsia="zh-CN"/>
        </w:rPr>
        <w:t xml:space="preserve">         </w:t>
      </w:r>
      <w:r>
        <w:rPr>
          <w:rFonts w:hint="eastAsia" w:ascii="宋体" w:hAnsi="宋体" w:eastAsia="宋体" w:cs="宋体"/>
          <w:sz w:val="18"/>
          <w:lang w:val="en-US" w:eastAsia="zh-CN"/>
        </w:rPr>
        <w:t xml:space="preserve">     </w:t>
      </w:r>
      <w:r>
        <w:rPr>
          <w:rFonts w:hint="eastAsia" w:ascii="宋体" w:hAnsi="宋体" w:eastAsia="宋体" w:cs="宋体"/>
          <w:sz w:val="18"/>
        </w:rPr>
        <w:t xml:space="preserve"> </w:t>
      </w:r>
      <w:r>
        <w:rPr>
          <w:rFonts w:hint="eastAsia" w:ascii="宋体" w:hAnsi="宋体" w:eastAsia="宋体" w:cs="宋体"/>
          <w:sz w:val="18"/>
          <w:lang w:val="en-US" w:eastAsia="zh-CN"/>
        </w:rPr>
        <w:t xml:space="preserve"> </w:t>
      </w:r>
    </w:p>
    <w:p>
      <w:pPr>
        <w:spacing w:after="3" w:line="320" w:lineRule="auto"/>
        <w:ind w:left="284" w:right="2670" w:hanging="10"/>
        <w:rPr>
          <w:rFonts w:hint="eastAsia" w:ascii="宋体" w:hAnsi="宋体" w:eastAsia="宋体" w:cs="宋体"/>
          <w:sz w:val="18"/>
          <w:lang w:val="en-US" w:eastAsia="zh-CN"/>
        </w:rPr>
      </w:pPr>
      <w:r>
        <w:rPr>
          <w:rFonts w:hint="eastAsia" w:ascii="宋体" w:hAnsi="宋体" w:eastAsia="宋体" w:cs="宋体"/>
          <w:sz w:val="18"/>
          <w:lang w:val="en-US" w:eastAsia="zh-CN"/>
        </w:rPr>
        <w:t>项目名称：</w:t>
      </w:r>
      <w:r>
        <w:rPr>
          <w:rFonts w:hint="eastAsia" w:ascii="宋体" w:hAnsi="宋体" w:eastAsia="宋体" w:cs="宋体"/>
          <w:sz w:val="18"/>
          <w:u w:val="single"/>
        </w:rPr>
        <w:t xml:space="preserve">   教育事业发展（地方教育附加）项目 </w:t>
      </w:r>
      <w:r>
        <w:rPr>
          <w:rFonts w:hint="eastAsia" w:ascii="宋体" w:hAnsi="宋体" w:eastAsia="宋体" w:cs="宋体"/>
          <w:sz w:val="18"/>
          <w:u w:val="single"/>
          <w:lang w:val="en-US" w:eastAsia="zh-CN"/>
        </w:rPr>
        <w:t xml:space="preserve"> </w:t>
      </w:r>
    </w:p>
    <w:p>
      <w:pPr>
        <w:spacing w:after="57" w:line="259" w:lineRule="auto"/>
        <w:ind w:left="284" w:right="0" w:hanging="10"/>
        <w:rPr>
          <w:u w:val="single"/>
        </w:rPr>
      </w:pPr>
      <w:r>
        <w:rPr>
          <w:rFonts w:ascii="宋体" w:hAnsi="宋体" w:eastAsia="宋体" w:cs="宋体"/>
          <w:sz w:val="18"/>
        </w:rPr>
        <w:t>实施年度：</w:t>
      </w:r>
      <w:r>
        <w:rPr>
          <w:rFonts w:hint="eastAsia" w:ascii="宋体" w:hAnsi="宋体" w:eastAsia="宋体" w:cs="宋体"/>
          <w:sz w:val="18"/>
          <w:u w:val="single"/>
        </w:rPr>
        <w:t xml:space="preserve">    2021   </w:t>
      </w:r>
      <w:r>
        <w:rPr>
          <w:rFonts w:ascii="宋体" w:hAnsi="宋体" w:eastAsia="宋体" w:cs="宋体"/>
          <w:sz w:val="18"/>
        </w:rPr>
        <w:t>实施开始时间（年/月）：</w:t>
      </w:r>
      <w:r>
        <w:rPr>
          <w:rFonts w:hint="eastAsia" w:ascii="宋体" w:hAnsi="宋体" w:eastAsia="宋体" w:cs="宋体"/>
          <w:sz w:val="18"/>
          <w:u w:val="single"/>
        </w:rPr>
        <w:t xml:space="preserve">   2021.1.01   </w:t>
      </w:r>
      <w:r>
        <w:rPr>
          <w:rFonts w:ascii="宋体" w:hAnsi="宋体" w:eastAsia="宋体" w:cs="宋体"/>
          <w:sz w:val="18"/>
        </w:rPr>
        <w:t>实施完成时间</w:t>
      </w:r>
      <w:r>
        <w:rPr>
          <w:rFonts w:hint="eastAsia" w:ascii="宋体" w:hAnsi="宋体" w:eastAsia="宋体" w:cs="宋体"/>
          <w:sz w:val="18"/>
        </w:rPr>
        <w:t>：</w:t>
      </w:r>
      <w:r>
        <w:rPr>
          <w:rFonts w:hint="eastAsia" w:ascii="宋体" w:hAnsi="宋体" w:eastAsia="宋体" w:cs="宋体"/>
          <w:sz w:val="18"/>
          <w:u w:val="single"/>
        </w:rPr>
        <w:t xml:space="preserve">  2021.12.31  </w:t>
      </w:r>
    </w:p>
    <w:p>
      <w:pPr>
        <w:pBdr>
          <w:top w:val="single" w:color="000000" w:sz="4" w:space="0"/>
          <w:left w:val="single" w:color="000000" w:sz="4" w:space="0"/>
          <w:bottom w:val="single" w:color="000000" w:sz="4" w:space="7"/>
          <w:right w:val="single" w:color="000000" w:sz="4" w:space="0"/>
        </w:pBdr>
        <w:spacing w:after="0" w:line="259" w:lineRule="auto"/>
        <w:ind w:left="386" w:right="0" w:firstLine="0"/>
        <w:jc w:val="center"/>
        <w:rPr>
          <w:rFonts w:ascii="黑体" w:hAnsi="黑体" w:eastAsia="黑体" w:cs="黑体"/>
          <w:sz w:val="24"/>
        </w:rPr>
      </w:pPr>
    </w:p>
    <w:p>
      <w:pPr>
        <w:pBdr>
          <w:top w:val="single" w:color="000000" w:sz="4" w:space="0"/>
          <w:left w:val="single" w:color="000000" w:sz="4" w:space="0"/>
          <w:bottom w:val="single" w:color="000000" w:sz="4" w:space="7"/>
          <w:right w:val="single" w:color="000000" w:sz="4" w:space="0"/>
        </w:pBdr>
        <w:spacing w:beforeLines="50" w:afterLines="50" w:line="259" w:lineRule="auto"/>
        <w:ind w:left="386" w:right="0" w:firstLine="0"/>
        <w:jc w:val="center"/>
        <w:rPr>
          <w:rFonts w:ascii="黑体" w:hAnsi="黑体" w:eastAsia="黑体" w:cs="黑体"/>
          <w:sz w:val="24"/>
        </w:rPr>
      </w:pPr>
      <w:r>
        <w:rPr>
          <w:rFonts w:hint="eastAsia" w:ascii="黑体" w:hAnsi="黑体" w:eastAsia="黑体" w:cs="黑体"/>
          <w:sz w:val="24"/>
          <w:lang w:val="en-US" w:eastAsia="zh-CN"/>
        </w:rPr>
        <w:t>项目</w:t>
      </w:r>
      <w:r>
        <w:rPr>
          <w:rFonts w:ascii="黑体" w:hAnsi="黑体" w:eastAsia="黑体" w:cs="黑体"/>
          <w:sz w:val="24"/>
        </w:rPr>
        <w:t xml:space="preserve">自评价情况 </w:t>
      </w:r>
      <w:bookmarkEnd w:id="0"/>
    </w:p>
    <w:p>
      <w:pPr>
        <w:pBdr>
          <w:top w:val="single" w:color="000000" w:sz="4" w:space="0"/>
          <w:left w:val="single" w:color="000000" w:sz="4" w:space="0"/>
          <w:bottom w:val="single" w:color="000000" w:sz="4" w:space="7"/>
          <w:right w:val="single" w:color="000000" w:sz="4" w:space="0"/>
        </w:pBdr>
        <w:spacing w:beforeLines="50" w:afterLines="50" w:line="259" w:lineRule="auto"/>
        <w:ind w:left="386" w:right="0" w:firstLine="0"/>
        <w:jc w:val="left"/>
        <w:rPr>
          <w:rFonts w:ascii="宋体" w:hAnsi="宋体" w:eastAsia="宋体" w:cs="宋体"/>
          <w:sz w:val="24"/>
          <w:szCs w:val="24"/>
        </w:rPr>
      </w:pPr>
      <w:r>
        <w:rPr>
          <w:rFonts w:hint="eastAsia" w:ascii="宋体" w:hAnsi="宋体" w:eastAsia="宋体" w:cs="宋体"/>
          <w:sz w:val="24"/>
          <w:szCs w:val="24"/>
          <w:lang w:val="en-US" w:eastAsia="zh-CN"/>
        </w:rPr>
        <w:t xml:space="preserve">    一、</w:t>
      </w:r>
      <w:r>
        <w:rPr>
          <w:rFonts w:ascii="宋体" w:hAnsi="宋体" w:eastAsia="宋体" w:cs="宋体"/>
          <w:sz w:val="24"/>
          <w:szCs w:val="24"/>
        </w:rPr>
        <w:t xml:space="preserve">项目概况（项目政策、资金分配使用、项目实施情况等） </w:t>
      </w:r>
    </w:p>
    <w:p>
      <w:pPr>
        <w:pBdr>
          <w:top w:val="single" w:color="000000" w:sz="4" w:space="0"/>
          <w:left w:val="single" w:color="000000" w:sz="4" w:space="0"/>
          <w:bottom w:val="single" w:color="000000" w:sz="4" w:space="7"/>
          <w:right w:val="single" w:color="000000" w:sz="4" w:space="0"/>
        </w:pBdr>
        <w:spacing w:beforeLines="50" w:afterLines="50" w:line="259" w:lineRule="auto"/>
        <w:ind w:left="386" w:right="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我校在教育事业发展（地方教育附加）专项资金管理方面，严格执行《江苏省财政厅 江苏省教育厅关于印发江苏省高等教育内涵建设专项资金管理办法的通知》（苏财规〔2019〕10号）以及校内制定的《南京信息工程大学内涵建设资金管理办法》（校发〔2020〕131号）的相关规定。</w:t>
      </w:r>
    </w:p>
    <w:p>
      <w:pPr>
        <w:pBdr>
          <w:top w:val="single" w:color="000000" w:sz="4" w:space="0"/>
          <w:left w:val="single" w:color="000000" w:sz="4" w:space="0"/>
          <w:bottom w:val="single" w:color="000000" w:sz="4" w:space="7"/>
          <w:right w:val="single" w:color="000000" w:sz="4" w:space="0"/>
        </w:pBdr>
        <w:spacing w:beforeLines="50" w:afterLines="50" w:line="259" w:lineRule="auto"/>
        <w:ind w:left="386" w:right="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2021年学校获得教育事业发展（地方教育附加）专项资金3000万元，主要投入人才队伍建设、学科建设等方面。</w:t>
      </w:r>
    </w:p>
    <w:p>
      <w:pPr>
        <w:pBdr>
          <w:top w:val="single" w:color="000000" w:sz="4" w:space="0"/>
          <w:left w:val="single" w:color="000000" w:sz="4" w:space="0"/>
          <w:bottom w:val="single" w:color="000000" w:sz="4" w:space="7"/>
          <w:right w:val="single" w:color="000000" w:sz="4" w:space="0"/>
        </w:pBdr>
        <w:spacing w:beforeLines="50" w:afterLines="50" w:line="259" w:lineRule="auto"/>
        <w:ind w:left="386" w:right="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在经费使用过程中，我校严格按照相关文件规定执行，规范管理，安排相关资金支持我校双一流大学建设，使资金在提升学校教学质量、学科建设等方面充分发挥作用。</w:t>
      </w:r>
    </w:p>
    <w:p>
      <w:pPr>
        <w:pBdr>
          <w:top w:val="single" w:color="000000" w:sz="4" w:space="0"/>
          <w:left w:val="single" w:color="000000" w:sz="4" w:space="0"/>
          <w:bottom w:val="single" w:color="000000" w:sz="4" w:space="7"/>
          <w:right w:val="single" w:color="000000" w:sz="4" w:space="0"/>
        </w:pBdr>
        <w:spacing w:beforeLines="50" w:afterLines="50" w:line="259" w:lineRule="auto"/>
        <w:ind w:left="386" w:right="0" w:firstLine="480" w:firstLineChars="200"/>
        <w:jc w:val="left"/>
        <w:rPr>
          <w:rFonts w:ascii="宋体" w:hAnsi="宋体" w:eastAsia="宋体" w:cs="宋体"/>
          <w:sz w:val="24"/>
          <w:szCs w:val="24"/>
        </w:rPr>
      </w:pPr>
      <w:r>
        <w:rPr>
          <w:rFonts w:hint="eastAsia" w:ascii="宋体" w:hAnsi="宋体" w:eastAsia="宋体" w:cs="宋体"/>
          <w:sz w:val="24"/>
          <w:szCs w:val="24"/>
          <w:lang w:val="en-US" w:eastAsia="zh-CN"/>
        </w:rPr>
        <w:t>二、</w:t>
      </w:r>
      <w:r>
        <w:rPr>
          <w:rFonts w:ascii="宋体" w:hAnsi="宋体" w:eastAsia="宋体" w:cs="宋体"/>
          <w:sz w:val="24"/>
          <w:szCs w:val="24"/>
        </w:rPr>
        <w:t xml:space="preserve">评价情况（评价思路、方式、做法，以及评价指标体系设置情况和评价结论等） </w:t>
      </w:r>
    </w:p>
    <w:p>
      <w:pPr>
        <w:pBdr>
          <w:top w:val="single" w:color="000000" w:sz="4" w:space="0"/>
          <w:left w:val="single" w:color="000000" w:sz="4" w:space="0"/>
          <w:bottom w:val="single" w:color="000000" w:sz="4" w:space="7"/>
          <w:right w:val="single" w:color="000000" w:sz="4" w:space="0"/>
        </w:pBdr>
        <w:spacing w:beforeLines="50" w:afterLines="50" w:line="259" w:lineRule="auto"/>
        <w:ind w:left="386" w:right="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教育事业发展（地方教育附加）专项资金在决策、过程、产出、效益、满意度五个方面设置相应指标，采用定性和定量相结合的方式，将年初指标值与实际完成值进行比对。</w:t>
      </w:r>
    </w:p>
    <w:p>
      <w:pPr>
        <w:pBdr>
          <w:top w:val="single" w:color="000000" w:sz="4" w:space="0"/>
          <w:left w:val="single" w:color="000000" w:sz="4" w:space="0"/>
          <w:bottom w:val="single" w:color="000000" w:sz="4" w:space="7"/>
          <w:right w:val="single" w:color="000000" w:sz="4" w:space="0"/>
        </w:pBdr>
        <w:spacing w:beforeLines="50" w:afterLines="50" w:line="259" w:lineRule="auto"/>
        <w:ind w:left="386" w:right="0" w:firstLine="480" w:firstLineChars="200"/>
        <w:jc w:val="left"/>
        <w:rPr>
          <w:rFonts w:ascii="宋体" w:hAnsi="宋体" w:eastAsia="宋体" w:cs="宋体"/>
          <w:sz w:val="24"/>
          <w:szCs w:val="24"/>
        </w:rPr>
      </w:pPr>
      <w:r>
        <w:rPr>
          <w:rFonts w:hint="eastAsia" w:ascii="宋体" w:hAnsi="宋体" w:eastAsia="宋体" w:cs="宋体"/>
          <w:sz w:val="24"/>
          <w:szCs w:val="24"/>
          <w:lang w:val="en-US" w:eastAsia="zh-CN"/>
        </w:rPr>
        <w:t>教育事业发展（地方教育附加）专项资金2021年各项绩效指标值完成情况良好，以</w:t>
      </w:r>
      <w:r>
        <w:rPr>
          <w:rFonts w:ascii="宋体" w:hAnsi="宋体" w:eastAsia="宋体" w:cs="宋体"/>
          <w:sz w:val="24"/>
          <w:szCs w:val="24"/>
        </w:rPr>
        <w:t>气象学科</w:t>
      </w:r>
      <w:r>
        <w:rPr>
          <w:rFonts w:hint="eastAsia" w:ascii="宋体" w:hAnsi="宋体" w:eastAsia="宋体" w:cs="宋体"/>
          <w:sz w:val="24"/>
          <w:szCs w:val="24"/>
          <w:lang w:val="en-US" w:eastAsia="zh-CN"/>
        </w:rPr>
        <w:t>为首的</w:t>
      </w:r>
      <w:r>
        <w:rPr>
          <w:rFonts w:ascii="宋体" w:hAnsi="宋体" w:eastAsia="宋体" w:cs="宋体"/>
          <w:sz w:val="24"/>
          <w:szCs w:val="24"/>
        </w:rPr>
        <w:t>一流学科建设带动相关学科快速提升</w:t>
      </w:r>
      <w:r>
        <w:rPr>
          <w:rFonts w:hint="eastAsia" w:ascii="宋体" w:hAnsi="宋体" w:eastAsia="宋体" w:cs="宋体"/>
          <w:sz w:val="24"/>
          <w:szCs w:val="24"/>
          <w:lang w:eastAsia="zh-CN"/>
        </w:rPr>
        <w:t>，</w:t>
      </w:r>
      <w:r>
        <w:rPr>
          <w:rFonts w:ascii="宋体" w:hAnsi="宋体" w:eastAsia="宋体" w:cs="宋体"/>
          <w:sz w:val="24"/>
          <w:szCs w:val="24"/>
        </w:rPr>
        <w:t>一流学科建设体系</w:t>
      </w:r>
      <w:r>
        <w:rPr>
          <w:rFonts w:hint="eastAsia" w:ascii="宋体" w:hAnsi="宋体" w:eastAsia="宋体" w:cs="宋体"/>
          <w:sz w:val="24"/>
          <w:szCs w:val="24"/>
          <w:lang w:val="en-US" w:eastAsia="zh-CN"/>
        </w:rPr>
        <w:t>得到进一步完善。</w:t>
      </w:r>
      <w:r>
        <w:rPr>
          <w:rFonts w:ascii="宋体" w:hAnsi="宋体" w:eastAsia="宋体" w:cs="宋体"/>
          <w:sz w:val="24"/>
          <w:szCs w:val="24"/>
        </w:rPr>
        <w:t>围绕一流学科建设布局打造“博士化、国际化、精英化、团队化、工程化”的师资队伍，形成了高层次人才翻倍式增长、学缘结构科学合理、学科团队有机融合的新格局</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使得学校综合办学水平显著提升。</w:t>
      </w:r>
    </w:p>
    <w:p>
      <w:pPr>
        <w:pBdr>
          <w:top w:val="single" w:color="000000" w:sz="4" w:space="0"/>
          <w:left w:val="single" w:color="000000" w:sz="4" w:space="0"/>
          <w:bottom w:val="single" w:color="000000" w:sz="4" w:space="7"/>
          <w:right w:val="single" w:color="000000" w:sz="4" w:space="0"/>
        </w:pBdr>
        <w:spacing w:beforeLines="50" w:afterLines="50" w:line="259" w:lineRule="auto"/>
        <w:ind w:left="386" w:right="0" w:firstLine="0"/>
        <w:jc w:val="left"/>
        <w:rPr>
          <w:rFonts w:ascii="宋体" w:hAnsi="宋体" w:eastAsia="宋体" w:cs="宋体"/>
          <w:sz w:val="24"/>
          <w:szCs w:val="24"/>
        </w:rPr>
      </w:pPr>
      <w:r>
        <w:rPr>
          <w:rFonts w:hint="eastAsia" w:ascii="宋体" w:hAnsi="宋体" w:eastAsia="宋体" w:cs="宋体"/>
          <w:sz w:val="24"/>
          <w:szCs w:val="24"/>
          <w:lang w:val="en-US" w:eastAsia="zh-CN"/>
        </w:rPr>
        <w:t xml:space="preserve">    三、</w:t>
      </w:r>
      <w:r>
        <w:rPr>
          <w:rFonts w:ascii="宋体" w:hAnsi="宋体" w:eastAsia="宋体" w:cs="宋体"/>
          <w:sz w:val="24"/>
          <w:szCs w:val="24"/>
        </w:rPr>
        <w:t xml:space="preserve">项目绩效（通过绩效评价发现、总结的项目绩效） </w:t>
      </w:r>
    </w:p>
    <w:p>
      <w:pPr>
        <w:numPr>
          <w:ilvl w:val="0"/>
          <w:numId w:val="1"/>
        </w:numPr>
        <w:pBdr>
          <w:top w:val="single" w:color="000000" w:sz="4" w:space="0"/>
          <w:left w:val="single" w:color="000000" w:sz="4" w:space="0"/>
          <w:bottom w:val="single" w:color="000000" w:sz="4" w:space="7"/>
          <w:right w:val="single" w:color="000000" w:sz="4" w:space="0"/>
        </w:pBdr>
        <w:spacing w:beforeLines="50" w:afterLines="50" w:line="259" w:lineRule="auto"/>
        <w:ind w:left="386" w:right="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资队伍质量得到进一步提升。学校建设成了以廖宏、潘成胜等为团队负责人代表的共13个江苏省双创团队，研究方向涉及气候、环境、信息等，如：江苏沿岸海洋环境对人为与自然变化的多尺度相应、图像理解及大数据分析团队、大气污染过程中气溶胶混合状态的演变及其对天气气候的影响、长江中下游气候年际变化机理研究与预测系统研发等。学校大力支持和建设创新性团队，通过支持团队建设，有力促进了国家和地方经济发展，为人才队伍培养、基础科学研究发挥了行业特色高校的力量。</w:t>
      </w:r>
    </w:p>
    <w:p>
      <w:pPr>
        <w:numPr>
          <w:ilvl w:val="0"/>
          <w:numId w:val="1"/>
        </w:numPr>
        <w:pBdr>
          <w:top w:val="single" w:color="000000" w:sz="4" w:space="0"/>
          <w:left w:val="single" w:color="000000" w:sz="4" w:space="0"/>
          <w:bottom w:val="single" w:color="000000" w:sz="4" w:space="7"/>
          <w:right w:val="single" w:color="000000" w:sz="4" w:space="0"/>
        </w:pBdr>
        <w:spacing w:beforeLines="50" w:afterLines="50" w:line="259" w:lineRule="auto"/>
        <w:ind w:left="386" w:right="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学科专业建设布局逐步优化，专业建设水平显著提升。2021年学校新增学位点11个，获批增列1个博士学位授权一级学科（计算机科学与技术）；2个博士学位授权交叉学科（人工智能、应急管理）；1个硕士学位授权一级学科（统计学）；5个硕士专业学位类别（国际商务、保险、审计、土木水利、图书情报）；动态调整增列2个硕士学位授权一级学科（教育学、电子科学与技术）。首轮“双一流”建设成效评价结果在教育部反馈报告中均在“比较显著”档以上。我校研究生获国家级竞赛奖项88项，获得省部级以上奖励268人次。其中，“兆易创新杯”第十六届研究生电子设计竞赛，获一等奖6项，一等奖获奖数连续三年位列全国前三。获评省优秀博士学位论文2篇、优秀学术型硕士学位论文3篇、优秀专业学位硕士学位论文3篇。</w:t>
      </w:r>
    </w:p>
    <w:p>
      <w:pPr>
        <w:numPr>
          <w:ilvl w:val="0"/>
          <w:numId w:val="2"/>
        </w:numPr>
        <w:pBdr>
          <w:top w:val="single" w:color="000000" w:sz="4" w:space="0"/>
          <w:left w:val="single" w:color="000000" w:sz="4" w:space="0"/>
          <w:bottom w:val="single" w:color="000000" w:sz="4" w:space="7"/>
          <w:right w:val="single" w:color="000000" w:sz="4" w:space="0"/>
        </w:pBdr>
        <w:spacing w:beforeLines="50" w:afterLines="50" w:line="259" w:lineRule="auto"/>
        <w:ind w:left="386" w:right="0" w:firstLine="480" w:firstLineChars="200"/>
        <w:jc w:val="left"/>
        <w:rPr>
          <w:rFonts w:hint="eastAsia" w:ascii="宋体" w:hAnsi="宋体" w:eastAsia="宋体" w:cs="宋体"/>
          <w:sz w:val="24"/>
          <w:szCs w:val="24"/>
          <w:lang w:eastAsia="zh-CN"/>
        </w:rPr>
      </w:pPr>
      <w:r>
        <w:rPr>
          <w:rFonts w:ascii="宋体" w:hAnsi="宋体" w:eastAsia="宋体" w:cs="宋体"/>
          <w:sz w:val="24"/>
          <w:szCs w:val="24"/>
        </w:rPr>
        <w:t xml:space="preserve">存在问题（通过绩效评价所发现的问题，原则上按照决策、过程、产出、效益分别归类分条撰写） </w:t>
      </w:r>
    </w:p>
    <w:p>
      <w:pPr>
        <w:numPr>
          <w:ilvl w:val="0"/>
          <w:numId w:val="0"/>
        </w:numPr>
        <w:pBdr>
          <w:top w:val="single" w:color="000000" w:sz="4" w:space="0"/>
          <w:left w:val="single" w:color="000000" w:sz="4" w:space="0"/>
          <w:bottom w:val="single" w:color="000000" w:sz="4" w:space="7"/>
          <w:right w:val="single" w:color="000000" w:sz="4" w:space="0"/>
        </w:pBdr>
        <w:spacing w:beforeLines="50" w:afterLines="50" w:line="259" w:lineRule="auto"/>
        <w:ind w:left="386" w:leftChars="0" w:right="0" w:rightChars="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绩效指标设置的关联度及可衡量性还需进一步研究，重点突出当年的核心绩效指标。</w:t>
      </w:r>
    </w:p>
    <w:p>
      <w:pPr>
        <w:numPr>
          <w:ilvl w:val="0"/>
          <w:numId w:val="0"/>
        </w:numPr>
        <w:pBdr>
          <w:top w:val="single" w:color="000000" w:sz="4" w:space="0"/>
          <w:left w:val="single" w:color="000000" w:sz="4" w:space="0"/>
          <w:bottom w:val="single" w:color="000000" w:sz="4" w:space="7"/>
          <w:right w:val="single" w:color="000000" w:sz="4" w:space="0"/>
        </w:pBdr>
        <w:spacing w:beforeLines="50" w:afterLines="50" w:line="259" w:lineRule="auto"/>
        <w:ind w:left="386" w:leftChars="0" w:right="0" w:rightChars="0"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val="en-US" w:eastAsia="zh-CN"/>
        </w:rPr>
        <w:t>五、</w:t>
      </w:r>
      <w:r>
        <w:rPr>
          <w:rFonts w:ascii="宋体" w:hAnsi="宋体" w:eastAsia="宋体" w:cs="宋体"/>
          <w:sz w:val="24"/>
          <w:szCs w:val="24"/>
        </w:rPr>
        <w:t>有关建议（针对存在的问题，分别提出相关完善或整改建议</w:t>
      </w:r>
      <w:r>
        <w:rPr>
          <w:rFonts w:hint="eastAsia" w:ascii="宋体" w:hAnsi="宋体" w:eastAsia="宋体" w:cs="宋体"/>
          <w:sz w:val="24"/>
          <w:szCs w:val="24"/>
          <w:lang w:eastAsia="zh-CN"/>
        </w:rPr>
        <w:t>）</w:t>
      </w:r>
    </w:p>
    <w:p>
      <w:pPr>
        <w:numPr>
          <w:ilvl w:val="0"/>
          <w:numId w:val="0"/>
        </w:numPr>
        <w:pBdr>
          <w:top w:val="single" w:color="000000" w:sz="4" w:space="0"/>
          <w:left w:val="single" w:color="000000" w:sz="4" w:space="0"/>
          <w:bottom w:val="single" w:color="000000" w:sz="4" w:space="7"/>
          <w:right w:val="single" w:color="000000" w:sz="4" w:space="0"/>
        </w:pBdr>
        <w:spacing w:beforeLines="50" w:afterLines="50" w:line="259" w:lineRule="auto"/>
        <w:ind w:left="386" w:leftChars="0" w:right="0" w:rightChars="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对预期绩效指标</w:t>
      </w:r>
      <w:bookmarkStart w:id="1" w:name="_GoBack"/>
      <w:bookmarkEnd w:id="1"/>
      <w:r>
        <w:rPr>
          <w:rFonts w:hint="eastAsia" w:ascii="宋体" w:hAnsi="宋体" w:eastAsia="宋体" w:cs="宋体"/>
          <w:sz w:val="24"/>
          <w:szCs w:val="24"/>
          <w:lang w:val="en-US" w:eastAsia="zh-CN"/>
        </w:rPr>
        <w:t>进行合理预估，在考虑可实现性的基础上，尽量从严、从高设定，强化指标值的约束力。</w:t>
      </w:r>
    </w:p>
    <w:p>
      <w:pPr>
        <w:numPr>
          <w:ilvl w:val="0"/>
          <w:numId w:val="0"/>
        </w:numPr>
        <w:pBdr>
          <w:top w:val="single" w:color="000000" w:sz="4" w:space="0"/>
          <w:left w:val="single" w:color="000000" w:sz="4" w:space="0"/>
          <w:bottom w:val="single" w:color="000000" w:sz="4" w:space="7"/>
          <w:right w:val="single" w:color="000000" w:sz="4" w:space="0"/>
        </w:pBdr>
        <w:spacing w:beforeLines="50" w:afterLines="50" w:line="259" w:lineRule="auto"/>
        <w:ind w:left="386" w:leftChars="0" w:right="0" w:rightChars="0"/>
        <w:jc w:val="left"/>
        <w:rPr>
          <w:rFonts w:hint="eastAsia" w:ascii="宋体" w:hAnsi="宋体" w:eastAsia="宋体" w:cs="宋体"/>
          <w:sz w:val="24"/>
          <w:szCs w:val="24"/>
          <w:lang w:val="en-US" w:eastAsia="zh-CN"/>
        </w:rPr>
      </w:pPr>
    </w:p>
    <w:p>
      <w:pPr/>
    </w:p>
    <w:sectPr>
      <w:headerReference r:id="rId3" w:type="default"/>
      <w:pgSz w:w="11906" w:h="16838"/>
      <w:pgMar w:top="756" w:right="1404" w:bottom="1333" w:left="1527"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黑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654671510">
    <w:nsid w:val="62A04896"/>
    <w:multiLevelType w:val="singleLevel"/>
    <w:tmpl w:val="62A04896"/>
    <w:lvl w:ilvl="0" w:tentative="1">
      <w:start w:val="1"/>
      <w:numFmt w:val="decimal"/>
      <w:suff w:val="nothing"/>
      <w:lvlText w:val="%1."/>
      <w:lvlJc w:val="left"/>
    </w:lvl>
  </w:abstractNum>
  <w:abstractNum w:abstractNumId="1654678346">
    <w:nsid w:val="62A0634A"/>
    <w:multiLevelType w:val="singleLevel"/>
    <w:tmpl w:val="62A0634A"/>
    <w:lvl w:ilvl="0" w:tentative="1">
      <w:start w:val="4"/>
      <w:numFmt w:val="chineseCounting"/>
      <w:suff w:val="nothing"/>
      <w:lvlText w:val="%1、"/>
      <w:lvlJc w:val="left"/>
    </w:lvl>
  </w:abstractNum>
  <w:num w:numId="1">
    <w:abstractNumId w:val="1654671510"/>
  </w:num>
  <w:num w:numId="2">
    <w:abstractNumId w:val="16546783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C467FD"/>
    <w:rsid w:val="02C467FD"/>
    <w:rsid w:val="268A4836"/>
    <w:rsid w:val="478D0A7F"/>
    <w:rsid w:val="592463C2"/>
    <w:rsid w:val="687757AC"/>
    <w:rsid w:val="6E6E03B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4" w:line="341" w:lineRule="auto"/>
      <w:ind w:right="122" w:firstLine="640"/>
    </w:pPr>
    <w:rPr>
      <w:rFonts w:ascii="微软雅黑" w:hAnsi="微软雅黑" w:eastAsia="微软雅黑" w:cs="微软雅黑"/>
      <w:color w:val="000000"/>
      <w:kern w:val="2"/>
      <w:sz w:val="32"/>
      <w:szCs w:val="22"/>
      <w:lang w:val="en-US" w:eastAsia="zh-CN" w:bidi="ar-SA"/>
    </w:rPr>
  </w:style>
  <w:style w:type="paragraph" w:styleId="2">
    <w:name w:val="heading 2"/>
    <w:next w:val="1"/>
    <w:unhideWhenUsed/>
    <w:qFormat/>
    <w:uiPriority w:val="0"/>
    <w:pPr>
      <w:keepNext/>
      <w:keepLines/>
      <w:spacing w:after="98" w:line="259" w:lineRule="auto"/>
      <w:ind w:left="10" w:right="123" w:hanging="10"/>
      <w:jc w:val="center"/>
      <w:outlineLvl w:val="1"/>
    </w:pPr>
    <w:rPr>
      <w:rFonts w:ascii="黑体" w:hAnsi="黑体" w:eastAsia="黑体" w:cs="Times New Roman"/>
      <w:color w:val="000000"/>
      <w:sz w:val="36"/>
      <w:szCs w:val="22"/>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2022-06-09T03:14:00Z</dcterms:created>
  <dc:creator>Administrator</dc:creator>
  <cp:lastModifiedBy>Administrator</cp:lastModifiedBy>
  <dcterms:modified xsi:type="dcterms:W3CDTF">2022-06-10T06:25:44Z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